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9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39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39" w:rsidRPr="007837F9" w:rsidRDefault="00A74739" w:rsidP="00A7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F9">
        <w:rPr>
          <w:rFonts w:ascii="Times New Roman" w:hAnsi="Times New Roman" w:cs="Times New Roman"/>
          <w:b/>
          <w:sz w:val="24"/>
          <w:szCs w:val="24"/>
        </w:rPr>
        <w:t>«Қазарнаулыэкспорт (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837F9">
        <w:rPr>
          <w:rFonts w:ascii="Times New Roman" w:hAnsi="Times New Roman" w:cs="Times New Roman"/>
          <w:b/>
          <w:sz w:val="24"/>
          <w:szCs w:val="24"/>
        </w:rPr>
        <w:t xml:space="preserve">)» 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РМК-де</w:t>
      </w:r>
      <w:proofErr w:type="spellEnd"/>
      <w:r w:rsidRPr="007837F9">
        <w:rPr>
          <w:rFonts w:ascii="Times New Roman" w:hAnsi="Times New Roman" w:cs="Times New Roman"/>
          <w:b/>
          <w:sz w:val="24"/>
          <w:szCs w:val="24"/>
        </w:rPr>
        <w:t xml:space="preserve"> босорынның бары 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туралыхабарландыру</w:t>
      </w:r>
      <w:proofErr w:type="spellEnd"/>
    </w:p>
    <w:p w:rsidR="00A74739" w:rsidRPr="007837F9" w:rsidRDefault="00A74739" w:rsidP="00A7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F9">
        <w:rPr>
          <w:rFonts w:ascii="Times New Roman" w:hAnsi="Times New Roman" w:cs="Times New Roman"/>
          <w:b/>
          <w:sz w:val="24"/>
          <w:szCs w:val="24"/>
        </w:rPr>
        <w:t>2018 ж. 29.10</w:t>
      </w:r>
    </w:p>
    <w:tbl>
      <w:tblPr>
        <w:tblStyle w:val="a3"/>
        <w:tblW w:w="0" w:type="auto"/>
        <w:tblLook w:val="04A0"/>
      </w:tblPr>
      <w:tblGrid>
        <w:gridCol w:w="532"/>
        <w:gridCol w:w="2827"/>
        <w:gridCol w:w="2292"/>
        <w:gridCol w:w="5048"/>
        <w:gridCol w:w="1826"/>
        <w:gridCol w:w="2261"/>
      </w:tblGrid>
      <w:tr w:rsidR="00A74739" w:rsidRPr="00F772CE" w:rsidTr="00153866">
        <w:tc>
          <w:tcPr>
            <w:tcW w:w="532" w:type="dxa"/>
          </w:tcPr>
          <w:p w:rsidR="00A74739" w:rsidRPr="007837F9" w:rsidRDefault="00A74739" w:rsidP="00153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292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лауазымның атауы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Әңгімелесуге қатысу үшін қажетті құжаттар тізбесі</w:t>
            </w:r>
          </w:p>
        </w:tc>
      </w:tr>
      <w:tr w:rsidR="00A74739" w:rsidRPr="008455FD" w:rsidTr="00153866">
        <w:trPr>
          <w:trHeight w:val="699"/>
        </w:trPr>
        <w:tc>
          <w:tcPr>
            <w:tcW w:w="532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азарнаулыэкспорт</w:t>
            </w:r>
            <w:proofErr w:type="spellEnd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Казспецэкспорт</w:t>
            </w:r>
            <w:proofErr w:type="spellEnd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РМК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Қабанбай батыр 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  <w:t>даңғ. 17, Е блогы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:74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83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kadry@kaspex.kz</w:t>
            </w:r>
          </w:p>
        </w:tc>
        <w:tc>
          <w:tcPr>
            <w:tcW w:w="2292" w:type="dxa"/>
          </w:tcPr>
          <w:p w:rsidR="00A74739" w:rsidRPr="007837F9" w:rsidRDefault="00A74739" w:rsidP="00A74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Жарнама-көрме қызметі және әскери-техникалық ынтымақтастық бөлімінің сарапшысы</w:t>
            </w:r>
          </w:p>
        </w:tc>
        <w:tc>
          <w:tcPr>
            <w:tcW w:w="5048" w:type="dxa"/>
          </w:tcPr>
          <w:p w:rsidR="00A74739" w:rsidRPr="007837F9" w:rsidRDefault="00A74739" w:rsidP="001538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жоғары.</w:t>
            </w:r>
          </w:p>
          <w:p w:rsidR="00A74739" w:rsidRPr="007837F9" w:rsidRDefault="00A74739" w:rsidP="001538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 өтіліне талап қойылмайды.</w:t>
            </w:r>
          </w:p>
          <w:p w:rsidR="008B31AC" w:rsidRPr="007837F9" w:rsidRDefault="00153866" w:rsidP="005D19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 қызметтерінің мәселелері бойынша құқықтық актілерді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анықтама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әзірлейді </w:t>
            </w:r>
            <w:r w:rsidR="00A7473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қызметінің негізгі бағыттарын ескере отырып, осы мәселелер бойынша түсінік береді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құзіретіне жататын мәселелер бойынша  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органдармен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алмасуды жүргізеді.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қозғайтын аядағы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ӘТЫ саласын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қатыса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және жұмысты ұйымдастырады.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ӘТЫ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шетелдік ұйымдармен 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(әлеуетті жеткізушілер)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әрекет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жұмысты ұйымдастырады.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 ұйымдар мен  шетелдік 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мемлекеттер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ұйым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дарының,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дарының 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өкілдерімен келіссөздерге қатысады.</w:t>
            </w:r>
            <w:r w:rsidR="00B87B5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7B54" w:rsidRP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 мүддесі үшін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таныстыру </w:t>
            </w:r>
            <w:r w:rsidR="0011651D" w:rsidRP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аналитикалық көзқарастар мен ұсыныстар әзірлеу арқылы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іс-шаралардың, </w:t>
            </w:r>
            <w:r w:rsidR="0011651D" w:rsidRP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көрмелердің, конференциялардың, семинарлардың,  демонстрациялардың мониторингін жүзеге асырады.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мүддесінде </w:t>
            </w:r>
            <w:r w:rsidR="0011651D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делегациялармен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ұйымдастырылатын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кездесулердің,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таныстырулардың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көрмелер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келіссөздер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басқа да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әрекеттердің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 мен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қажетті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материалдарын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ұйымдастырады. ӘТЫ саласындағы халықаралық келісімдерді, шарттарды және өзге де құжаттардың мониторингін  жүргізеді. ҚР ҚАӨМ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Қарулы Күштерін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ің, басқа да әскерлері мен әскери құр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лымдарының, сондай-ақ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ведомствол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ардың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өкілдерін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шақыр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отырып,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 іс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шарасын өткізу бойынша жұмысты  ұйымдастырады. 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 ісшараларын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көрмелер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конференциялар, 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ұйымдастырады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өткізеді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Көрмелерге (оның ішінде халықаралық), демонстрацияларға, 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таныстыруларға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конференцияларға, семинарларға, қару-жа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рақ пен әскери техниканы көрсетілімдерг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 сондай-ақ қатысу үшін (Кәсіпорын басшылығы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келісім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бойынша) қажетті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  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пакетін 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ларға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қатысады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 Халықаралық қару-жарақ пен әскери техника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лық мүлік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 көрмелер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іне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Кәсіпорын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>ның қатысуы бойынша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 xml:space="preserve"> ісшаралар ұйымдастырады. 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5FD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Кәсіпорынның ақпараттық сайтына </w:t>
            </w:r>
            <w:r w:rsidR="008455FD">
              <w:rPr>
                <w:rFonts w:ascii="Times New Roman" w:hAnsi="Times New Roman" w:cs="Times New Roman"/>
                <w:sz w:val="24"/>
                <w:lang w:val="kk-KZ"/>
              </w:rPr>
              <w:t>ақпараттық материалдарды</w:t>
            </w:r>
            <w:r w:rsidR="006F721C"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дайындайды</w:t>
            </w:r>
            <w:r w:rsidR="008455FD">
              <w:rPr>
                <w:rFonts w:ascii="Times New Roman" w:hAnsi="Times New Roman" w:cs="Times New Roman"/>
                <w:sz w:val="24"/>
                <w:lang w:val="kk-KZ"/>
              </w:rPr>
              <w:t xml:space="preserve"> және</w:t>
            </w:r>
            <w:r w:rsidR="006F721C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бағыттайды</w:t>
            </w:r>
            <w:r w:rsidR="006F721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826" w:type="dxa"/>
          </w:tcPr>
          <w:p w:rsidR="00A74739" w:rsidRPr="008455FD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куәлік</w:t>
            </w:r>
          </w:p>
          <w:p w:rsidR="00A74739" w:rsidRPr="007837F9" w:rsidRDefault="00A74739" w:rsidP="001538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</w:t>
            </w:r>
          </w:p>
          <w:p w:rsidR="00A74739" w:rsidRPr="007837F9" w:rsidRDefault="00A74739" w:rsidP="001538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Түйіндеме</w:t>
            </w:r>
          </w:p>
          <w:p w:rsidR="00A74739" w:rsidRPr="007837F9" w:rsidRDefault="00A74739" w:rsidP="00153866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Дипломдардың көшірмелері</w:t>
            </w:r>
          </w:p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кітапшасының көшірмесі</w:t>
            </w:r>
          </w:p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4739" w:rsidRPr="008455FD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7837F9" w:rsidRDefault="00A74739" w:rsidP="0068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ED3983" w:rsidRPr="007837F9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Объявление о наличии 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ваканси</w:t>
      </w:r>
      <w:r w:rsidR="0077621E" w:rsidRPr="007837F9">
        <w:rPr>
          <w:rFonts w:ascii="Times New Roman" w:hAnsi="Times New Roman" w:cs="Times New Roman"/>
          <w:b/>
          <w:sz w:val="24"/>
          <w:szCs w:val="24"/>
        </w:rPr>
        <w:t>и</w:t>
      </w:r>
      <w:r w:rsidR="006D26D2" w:rsidRPr="007837F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6D26D2" w:rsidRPr="007837F9">
        <w:rPr>
          <w:rFonts w:ascii="Times New Roman" w:hAnsi="Times New Roman" w:cs="Times New Roman"/>
          <w:b/>
          <w:sz w:val="24"/>
          <w:szCs w:val="24"/>
        </w:rPr>
        <w:t xml:space="preserve"> РГП «</w:t>
      </w:r>
      <w:proofErr w:type="spellStart"/>
      <w:r w:rsidR="006D26D2" w:rsidRPr="007837F9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837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837F9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837F9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Pr="007837F9" w:rsidRDefault="0077621E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7F9">
        <w:rPr>
          <w:rFonts w:ascii="Times New Roman" w:hAnsi="Times New Roman" w:cs="Times New Roman"/>
          <w:b/>
          <w:sz w:val="24"/>
          <w:szCs w:val="24"/>
          <w:u w:val="single"/>
        </w:rPr>
        <w:t>29.10.2018 г.</w:t>
      </w:r>
    </w:p>
    <w:p w:rsidR="003F4F8C" w:rsidRPr="007837F9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837F9" w:rsidTr="000E2144">
        <w:tc>
          <w:tcPr>
            <w:tcW w:w="534" w:type="dxa"/>
          </w:tcPr>
          <w:p w:rsidR="006D26D2" w:rsidRPr="007837F9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7837F9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8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Pr="007837F9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768355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837F9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7837F9" w:rsidRDefault="00583478" w:rsidP="00DF6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7F9">
              <w:rPr>
                <w:rFonts w:ascii="Times New Roman" w:hAnsi="Times New Roman"/>
                <w:sz w:val="24"/>
                <w:szCs w:val="24"/>
              </w:rPr>
              <w:t xml:space="preserve">Эксперт Отдела рекламно – выставочной деятельности и </w:t>
            </w:r>
            <w:proofErr w:type="spellStart"/>
            <w:r w:rsidRPr="007837F9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7837F9">
              <w:rPr>
                <w:rFonts w:ascii="Times New Roman" w:hAnsi="Times New Roman"/>
                <w:sz w:val="24"/>
                <w:szCs w:val="24"/>
              </w:rPr>
              <w:t xml:space="preserve"> – технического сотрудничеств</w:t>
            </w:r>
            <w:r w:rsidRPr="007837F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74739" w:rsidRPr="007837F9" w:rsidRDefault="00A74739" w:rsidP="00DF6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83478" w:rsidRPr="007837F9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7837F9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7302F9" w:rsidRPr="007837F9" w:rsidRDefault="009D10B8" w:rsidP="006321E0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Разрабатывает правовые акты, аналитические справки по вопросам деятельности Предприятия и дает разъяснения по этим вопросам, с учетом основного направления деятельности Отдела. Ведет переписку с государственными органами и организациями, по вопросам, относящимся к компетенции Отдела</w:t>
            </w:r>
            <w:r w:rsidR="00FF4407"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Организовывает работу и участие в области ВТС в сферах, затрагиваемых Предприятие. 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работу по взаимодействию с организациями иностранных государств (потенциальными поставщиками) в области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Участвует </w:t>
            </w:r>
            <w:r w:rsidR="00FF4407"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переговорах с представителями 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организаций, предприятий, юридических лиц, международных организаций и иностранных государств. Осуществляет мониторинг презентационных мероприятий, выставок, конференций, семинаров, демонстраций с выработкой аналитических взглядов и предложений в интересах Предприятия. Организовывает место и необходимые расходные материалы в интересах организуемых Предприятием встреч с делегациями, презентаций, выставок, 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переговоров и других действий. Проводит мониторинг международных соглашений, договоров и иных документов в области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Организовывает работу по проведению презентационных мероп</w:t>
            </w:r>
            <w:r w:rsidR="00FF4407"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риятий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приглашением представителей </w:t>
            </w:r>
            <w:r w:rsidR="00FF4407"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МОАП РК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FF4407"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Вооруженных Сил, других войск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и воинских формирований Республики Казахстан, а также прочих заинтересованных ведомств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Организовывает и проводит презентационные мероприятия, выставки, конференции, семинары. Принимает участие на выставках (в том числе международных), демонстрациях, презентациях, конференциях, семинарах, показах вооружения и военной техники, а также формирование пакета документов, необходимых для участия (по согласованию с руководством Предприятия). </w:t>
            </w:r>
            <w:r w:rsidRPr="008455F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Организовывает мероприятия по участию Предприятия в международных выставках вооружения и военно- технического имущества</w:t>
            </w:r>
            <w:proofErr w:type="gramStart"/>
            <w:r w:rsidRPr="008455F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8D4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40F1">
              <w:rPr>
                <w:rFonts w:ascii="Times New Roman" w:hAnsi="Times New Roman" w:cs="Times New Roman"/>
                <w:sz w:val="24"/>
                <w:szCs w:val="24"/>
              </w:rPr>
              <w:t xml:space="preserve">едет подготовку и направление </w:t>
            </w:r>
            <w:r w:rsidRPr="008D40F1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информационных материалов на информационный сайт Предприятия</w:t>
            </w:r>
          </w:p>
        </w:tc>
        <w:tc>
          <w:tcPr>
            <w:tcW w:w="1827" w:type="dxa"/>
          </w:tcPr>
          <w:p w:rsidR="00583478" w:rsidRPr="007837F9" w:rsidRDefault="00583478" w:rsidP="00C2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83478" w:rsidRPr="007837F9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7837F9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7837F9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7837F9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7837F9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1651D"/>
    <w:rsid w:val="00146E5A"/>
    <w:rsid w:val="00153866"/>
    <w:rsid w:val="001655D7"/>
    <w:rsid w:val="001771DC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320126"/>
    <w:rsid w:val="00333DFA"/>
    <w:rsid w:val="00350C1E"/>
    <w:rsid w:val="00351317"/>
    <w:rsid w:val="003605E9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1991"/>
    <w:rsid w:val="0060192E"/>
    <w:rsid w:val="0060556E"/>
    <w:rsid w:val="0061485D"/>
    <w:rsid w:val="00616DAD"/>
    <w:rsid w:val="00622EB0"/>
    <w:rsid w:val="006321E0"/>
    <w:rsid w:val="00652DCD"/>
    <w:rsid w:val="00655380"/>
    <w:rsid w:val="00685744"/>
    <w:rsid w:val="006917BB"/>
    <w:rsid w:val="006A5FB5"/>
    <w:rsid w:val="006C4AA9"/>
    <w:rsid w:val="006C5B1B"/>
    <w:rsid w:val="006D26D2"/>
    <w:rsid w:val="006F721C"/>
    <w:rsid w:val="007302F9"/>
    <w:rsid w:val="0075563C"/>
    <w:rsid w:val="00762F56"/>
    <w:rsid w:val="0077621E"/>
    <w:rsid w:val="00777620"/>
    <w:rsid w:val="007837F9"/>
    <w:rsid w:val="00784BA7"/>
    <w:rsid w:val="007977C1"/>
    <w:rsid w:val="007C60E0"/>
    <w:rsid w:val="007D4560"/>
    <w:rsid w:val="007D4CB7"/>
    <w:rsid w:val="007E0834"/>
    <w:rsid w:val="007F0F26"/>
    <w:rsid w:val="007F2C1E"/>
    <w:rsid w:val="0081650E"/>
    <w:rsid w:val="008172A9"/>
    <w:rsid w:val="00835DED"/>
    <w:rsid w:val="00844635"/>
    <w:rsid w:val="008455FD"/>
    <w:rsid w:val="00871652"/>
    <w:rsid w:val="00872B95"/>
    <w:rsid w:val="008B31AC"/>
    <w:rsid w:val="008D40F1"/>
    <w:rsid w:val="0093246E"/>
    <w:rsid w:val="00957695"/>
    <w:rsid w:val="009624E5"/>
    <w:rsid w:val="009636D7"/>
    <w:rsid w:val="00995CB8"/>
    <w:rsid w:val="009D10B8"/>
    <w:rsid w:val="00A720F8"/>
    <w:rsid w:val="00A74739"/>
    <w:rsid w:val="00AA7A75"/>
    <w:rsid w:val="00B0301B"/>
    <w:rsid w:val="00B7789A"/>
    <w:rsid w:val="00B804A0"/>
    <w:rsid w:val="00B87B54"/>
    <w:rsid w:val="00BB4349"/>
    <w:rsid w:val="00BD5856"/>
    <w:rsid w:val="00C00CF4"/>
    <w:rsid w:val="00C2232A"/>
    <w:rsid w:val="00C44D01"/>
    <w:rsid w:val="00C55850"/>
    <w:rsid w:val="00CC73A4"/>
    <w:rsid w:val="00CC7484"/>
    <w:rsid w:val="00CF13A5"/>
    <w:rsid w:val="00CF68F6"/>
    <w:rsid w:val="00D51D91"/>
    <w:rsid w:val="00D9134F"/>
    <w:rsid w:val="00D940E5"/>
    <w:rsid w:val="00DC0832"/>
    <w:rsid w:val="00DD0301"/>
    <w:rsid w:val="00DD6A8E"/>
    <w:rsid w:val="00DF6FCF"/>
    <w:rsid w:val="00E67D9F"/>
    <w:rsid w:val="00EB5D31"/>
    <w:rsid w:val="00ED3983"/>
    <w:rsid w:val="00F00771"/>
    <w:rsid w:val="00F1196E"/>
    <w:rsid w:val="00F62A27"/>
    <w:rsid w:val="00F772CE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makisheva_b</cp:lastModifiedBy>
  <cp:revision>129</cp:revision>
  <cp:lastPrinted>2018-07-19T09:57:00Z</cp:lastPrinted>
  <dcterms:created xsi:type="dcterms:W3CDTF">2018-05-31T04:01:00Z</dcterms:created>
  <dcterms:modified xsi:type="dcterms:W3CDTF">2018-10-30T11:56:00Z</dcterms:modified>
</cp:coreProperties>
</file>