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D6" w:rsidRDefault="009412D6" w:rsidP="0094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Қ</w:t>
      </w:r>
      <w:proofErr w:type="spellStart"/>
      <w:r w:rsidRPr="007D4CB7">
        <w:rPr>
          <w:rFonts w:ascii="Times New Roman" w:hAnsi="Times New Roman" w:cs="Times New Roman"/>
          <w:b/>
          <w:sz w:val="24"/>
          <w:szCs w:val="24"/>
        </w:rPr>
        <w:t>азарнаулыэкспорт</w:t>
      </w:r>
      <w:proofErr w:type="spellEnd"/>
      <w:r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Pr="007D4CB7">
        <w:rPr>
          <w:rFonts w:ascii="Times New Roman" w:hAnsi="Times New Roman" w:cs="Times New Roman"/>
          <w:b/>
          <w:sz w:val="24"/>
          <w:szCs w:val="24"/>
        </w:rPr>
        <w:t>)»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РМК-де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kk-KZ"/>
        </w:rPr>
        <w:t>бос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орынның бары туралы хабарландыру</w:t>
      </w:r>
    </w:p>
    <w:p w:rsidR="009412D6" w:rsidRPr="003C1FD3" w:rsidRDefault="009412D6" w:rsidP="0094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3C1FD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2018 ж.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14</w:t>
      </w:r>
      <w:r w:rsidRPr="003C1FD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08</w:t>
      </w:r>
    </w:p>
    <w:p w:rsidR="009412D6" w:rsidRPr="003F4F8C" w:rsidRDefault="009412D6" w:rsidP="009412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211"/>
        <w:gridCol w:w="1827"/>
        <w:gridCol w:w="2078"/>
      </w:tblGrid>
      <w:tr w:rsidR="009412D6" w:rsidRPr="0026277C" w:rsidTr="009412D6">
        <w:tc>
          <w:tcPr>
            <w:tcW w:w="534" w:type="dxa"/>
          </w:tcPr>
          <w:p w:rsidR="009412D6" w:rsidRPr="007D4CB7" w:rsidRDefault="009412D6" w:rsidP="009412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9412D6" w:rsidRPr="003C1FD3" w:rsidRDefault="009412D6" w:rsidP="0094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Тұрған орнын, пошта мекенжайын, телефонын көрсетілген мемлекеттік кәсіпорынның атауы</w:t>
            </w:r>
          </w:p>
        </w:tc>
        <w:tc>
          <w:tcPr>
            <w:tcW w:w="2301" w:type="dxa"/>
          </w:tcPr>
          <w:p w:rsidR="009412D6" w:rsidRDefault="009412D6" w:rsidP="0094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лауазымның атауы</w:t>
            </w:r>
          </w:p>
          <w:p w:rsidR="009412D6" w:rsidRPr="007D4CB7" w:rsidRDefault="009412D6" w:rsidP="0094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9412D6" w:rsidRPr="004A797C" w:rsidRDefault="009412D6" w:rsidP="0094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Үміткерлерге тиісті сала үшін біліктілік сипаттамаларына сәйкес айқындалған бос лауазымдарды атқаруға арналған негізгі талаптар </w:t>
            </w:r>
          </w:p>
        </w:tc>
        <w:tc>
          <w:tcPr>
            <w:tcW w:w="1827" w:type="dxa"/>
          </w:tcPr>
          <w:p w:rsidR="009412D6" w:rsidRPr="004A797C" w:rsidRDefault="009412D6" w:rsidP="0094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Құжат қабылдауды бастау күні мен уақыты</w:t>
            </w:r>
          </w:p>
        </w:tc>
        <w:tc>
          <w:tcPr>
            <w:tcW w:w="2078" w:type="dxa"/>
          </w:tcPr>
          <w:p w:rsidR="009412D6" w:rsidRPr="004A797C" w:rsidRDefault="009412D6" w:rsidP="0094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Әңгімелесуге қатысу үшін қажетті құжаттар тізбесі</w:t>
            </w:r>
          </w:p>
        </w:tc>
      </w:tr>
      <w:tr w:rsidR="00800A2E" w:rsidRPr="007D4CB7" w:rsidTr="009412D6">
        <w:tc>
          <w:tcPr>
            <w:tcW w:w="534" w:type="dxa"/>
          </w:tcPr>
          <w:p w:rsidR="00800A2E" w:rsidRPr="00C00CF4" w:rsidRDefault="00800A2E" w:rsidP="0094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00A2E" w:rsidRPr="000F004D" w:rsidRDefault="00800A2E" w:rsidP="0094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Қорғаныс және аэроғарыш өнеркәсібі министрлігінің ШЖҚ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азарнаулыэкспорт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РМК</w:t>
            </w:r>
          </w:p>
          <w:p w:rsidR="00800A2E" w:rsidRDefault="00800A2E" w:rsidP="0094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  <w:p w:rsidR="00800A2E" w:rsidRPr="007D4CB7" w:rsidRDefault="00800A2E" w:rsidP="009412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Иманов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көш.</w:t>
            </w:r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1</w:t>
            </w:r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800A2E" w:rsidRDefault="00800A2E" w:rsidP="009412D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:</w:t>
            </w:r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90-10-74</w:t>
            </w:r>
          </w:p>
          <w:p w:rsidR="00800A2E" w:rsidRPr="008172A9" w:rsidRDefault="00800A2E" w:rsidP="0094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800A2E" w:rsidRDefault="00800A2E" w:rsidP="0094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A2E" w:rsidRPr="008172A9" w:rsidRDefault="00800A2E" w:rsidP="009412D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0A2E" w:rsidRDefault="00800A2E" w:rsidP="00941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A2E" w:rsidRPr="007D4CB7" w:rsidRDefault="00800A2E" w:rsidP="00941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800A2E" w:rsidRPr="00F1196E" w:rsidRDefault="00800A2E" w:rsidP="009412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Әкімшілік департаменті әкімшілік-шаруашылық сектор</w:t>
            </w:r>
            <w:r w:rsidR="001B68C9">
              <w:rPr>
                <w:rFonts w:ascii="Times New Roman" w:hAnsi="Times New Roman"/>
                <w:sz w:val="24"/>
                <w:szCs w:val="24"/>
                <w:lang w:val="kk-KZ"/>
              </w:rPr>
              <w:t>ының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сарапшысы</w:t>
            </w:r>
          </w:p>
        </w:tc>
        <w:tc>
          <w:tcPr>
            <w:tcW w:w="5211" w:type="dxa"/>
          </w:tcPr>
          <w:p w:rsidR="00490F0C" w:rsidRPr="00490F0C" w:rsidRDefault="00490F0C" w:rsidP="00800A2E">
            <w:pPr>
              <w:tabs>
                <w:tab w:val="left" w:pos="851"/>
                <w:tab w:val="left" w:pos="12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ғары бі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</w:t>
            </w:r>
            <w:bookmarkStart w:id="0" w:name="_GoBack"/>
            <w:bookmarkEnd w:id="0"/>
            <w:r w:rsidR="004A09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еңбек өтіліне талаптар қойлмайды.</w:t>
            </w:r>
          </w:p>
          <w:p w:rsidR="00800A2E" w:rsidRPr="008C59D0" w:rsidRDefault="004A09D7" w:rsidP="008C59D0">
            <w:pPr>
              <w:tabs>
                <w:tab w:val="left" w:pos="851"/>
                <w:tab w:val="left" w:pos="12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Мемлекеттік сатып алулар жоспарына негізгі құралдарды, тауар-материалдық құндылықтарды, кеңсе және шаруашылық тауарларын, жалға алу бойынша көрсетілетін қызметтерді және басқа да қызметтерді сатып алуды енгізу үшін өтінімдер мен негіз әзірлейді, мемлекеттік сатып алулар арқылы негізгі құралдарды, тауар-материалдық құндылықтарды, кеңсе және шаруашылық тауарларын, жалға алу бойынша көрсетілетін қызметтерді және басқа да қызметтерді сатып алуға арналған </w:t>
            </w:r>
            <w:r w:rsidR="00542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өтінімдерді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шарт </w:t>
            </w:r>
            <w:r w:rsidR="00542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жобаларын әзірлейді, шарт талаптарына және бухгалтерлікке есепке сәйкес жеткізушілерден негізгі құралдарды, тауар-материалдық құндылықтарды, кеңсе және шаруашылық тауарларын, жалға алу бойынша көрсетілетін қызметтерді және басқа да қызметтерді қабылдайды,олардың шығысына есеп жүргізеді және есептілік құрайды, тауардың жай-күйін тексереді, сыртқы ақаулықты анықтаған жағдайда оларды ауыстыру бойынша шаралар қолданады, өндірістік базаны жөндеу бойынша жоспар мен шығыстар </w:t>
            </w:r>
            <w:r w:rsidR="00542F2F" w:rsidRPr="00542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сметасын құрастыру бойынша қажетті іс-шаралар жүргізеді; оларды сатып алу, жеткізу және сақтауға байланысты шығындарды азайту арқылы материалдық ресурстарды пайдаланудың тиімділігін арттыру </w:t>
            </w:r>
            <w:r w:rsidR="00542F2F" w:rsidRPr="00542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жөнінде шаралар қабылдайды</w:t>
            </w:r>
            <w:r w:rsidR="00542F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жеткізушілердің департмент қызметіне қатысты мемлекеттік сатып алулар туралы шарттар бойынша міндеттерін </w:t>
            </w:r>
            <w:r w:rsidR="00542F2F" w:rsidRPr="009A4F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орындауын бақ</w:t>
            </w:r>
            <w:r w:rsidR="009A4F39" w:rsidRPr="009A4F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ылайды, мемлекеттік сатып алу туралы жасасылған шарттардың талаптарына сәйкес мемлекеттік сатып алулардағы жосықсыз қатысушылар тарапынан </w:t>
            </w:r>
            <w:r w:rsidR="009A4F39" w:rsidRPr="008C5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жеткізушілерді тану туралы талап қою өтініштерін ұсыну үшін Кәсіпорынның Заң департаментіне материалдар жібереді, </w:t>
            </w:r>
            <w:r w:rsidR="00011F67" w:rsidRPr="008C5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Кәсiпорынның </w:t>
            </w:r>
            <w:r w:rsidR="009A4F39" w:rsidRPr="008C5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құрылымдық бөлiмшелерi</w:t>
            </w:r>
            <w:r w:rsidR="00011F67" w:rsidRPr="008C5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="009A4F39" w:rsidRPr="008C5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материалдық құндылықтарды нысаналы және тиiмдi пайдалану</w:t>
            </w:r>
            <w:r w:rsidR="00011F67" w:rsidRPr="008C5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="009A4F39" w:rsidRPr="008C5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011F67" w:rsidRPr="008C5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Кәсiпорын үй-жайларының </w:t>
            </w:r>
            <w:r w:rsidR="009A4F39" w:rsidRPr="008C5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жай-күйiн </w:t>
            </w:r>
            <w:r w:rsidR="00011F67" w:rsidRPr="008C5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қолданыстағы</w:t>
            </w:r>
            <w:r w:rsidR="009A4F39" w:rsidRPr="008C5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санитарлық-гигиеналық және </w:t>
            </w:r>
            <w:r w:rsidR="00011F67" w:rsidRPr="008C5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өртке қарсы</w:t>
            </w:r>
            <w:r w:rsidR="009A4F39" w:rsidRPr="008C5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нормалар мен </w:t>
            </w:r>
            <w:r w:rsidR="00011F67" w:rsidRPr="008C5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қағидаларға</w:t>
            </w:r>
            <w:r w:rsidR="009A4F39" w:rsidRPr="008C5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сәйкес дұрыс ұста</w:t>
            </w:r>
            <w:r w:rsidR="00011F67" w:rsidRPr="008C5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луын бақылауды</w:t>
            </w:r>
            <w:r w:rsidR="009A4F39" w:rsidRPr="008C5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="00011F67" w:rsidRPr="008C5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құрылымдық бөлімшелерді кеңсе тауарлары, жабдықтар, кеңсе техникасы, жиһаз, тұрмыстық заттармен қамтамасыз етеді, олардың шығыстары мен шоттарының есебін жүргізеді,</w:t>
            </w:r>
            <w:r w:rsidR="008C59D0" w:rsidRPr="008C59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Кәсіпорынға көліктік қызмет көрсетеді, Кәсіпорында өткізілетін тауарлық-материалдық құндылықтарды түгендеуге қатысады, мәдени-ағартушылық және басқа да іс-шараларға жауап береді, құрылымдық бөлімшелерді мөрлейтін құралдармен және мөрлермен қамтамасыз етеді, оған сеніп тапсырылған мүлік және тауар-материалдық құндылықтар үшін материалдық жауапкершілік көтереді.</w:t>
            </w:r>
          </w:p>
        </w:tc>
        <w:tc>
          <w:tcPr>
            <w:tcW w:w="1827" w:type="dxa"/>
          </w:tcPr>
          <w:p w:rsidR="00800A2E" w:rsidRPr="00800A2E" w:rsidRDefault="00800A2E" w:rsidP="00800A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2018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27.08</w:t>
            </w:r>
          </w:p>
          <w:p w:rsidR="00800A2E" w:rsidRPr="00576391" w:rsidRDefault="00800A2E" w:rsidP="00837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7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7E75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Pr="00837E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</w:t>
            </w:r>
            <w:r w:rsidRPr="00837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8" w:type="dxa"/>
          </w:tcPr>
          <w:p w:rsidR="00800A2E" w:rsidRPr="00A62A76" w:rsidRDefault="00800A2E" w:rsidP="009412D6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куәлік</w:t>
            </w:r>
          </w:p>
          <w:p w:rsidR="00800A2E" w:rsidRPr="00A62A76" w:rsidRDefault="00800A2E" w:rsidP="009412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Өтініш </w:t>
            </w:r>
          </w:p>
          <w:p w:rsidR="00800A2E" w:rsidRPr="00A62A76" w:rsidRDefault="00800A2E" w:rsidP="009412D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Түйіндеме</w:t>
            </w:r>
          </w:p>
          <w:p w:rsidR="00800A2E" w:rsidRPr="00A62A76" w:rsidRDefault="00800A2E" w:rsidP="009412D6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Дипломдардың көшірмелері</w:t>
            </w:r>
          </w:p>
          <w:p w:rsidR="00800A2E" w:rsidRDefault="00800A2E" w:rsidP="009412D6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кітапшасының көшірмесі</w:t>
            </w:r>
          </w:p>
          <w:p w:rsidR="00800A2E" w:rsidRDefault="00800A2E" w:rsidP="009412D6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00A2E" w:rsidRDefault="00800A2E" w:rsidP="00800A2E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2D6" w:rsidRPr="006D26D2" w:rsidRDefault="009412D6" w:rsidP="009412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2D6" w:rsidRDefault="009412D6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D6" w:rsidRDefault="009412D6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D6" w:rsidRDefault="009412D6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2D6" w:rsidRDefault="009412D6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59D0" w:rsidRDefault="008C59D0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59D0" w:rsidRDefault="008C59D0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C59D0" w:rsidRPr="008C59D0" w:rsidRDefault="008C59D0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3983" w:rsidRDefault="003D43F4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Объявление о наличии вакансий </w:t>
      </w:r>
      <w:r w:rsidR="006D26D2" w:rsidRPr="007D4CB7">
        <w:rPr>
          <w:rFonts w:ascii="Times New Roman" w:hAnsi="Times New Roman" w:cs="Times New Roman"/>
          <w:b/>
          <w:sz w:val="24"/>
          <w:szCs w:val="24"/>
        </w:rPr>
        <w:t>в РГП «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Казарнаулыэкспорт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6D26D2" w:rsidRPr="007D4CB7">
        <w:rPr>
          <w:rFonts w:ascii="Times New Roman" w:hAnsi="Times New Roman" w:cs="Times New Roman"/>
          <w:b/>
          <w:sz w:val="24"/>
          <w:szCs w:val="24"/>
        </w:rPr>
        <w:t>Казспецэкспорт</w:t>
      </w:r>
      <w:proofErr w:type="spellEnd"/>
      <w:r w:rsidR="006D26D2" w:rsidRPr="007D4CB7">
        <w:rPr>
          <w:rFonts w:ascii="Times New Roman" w:hAnsi="Times New Roman" w:cs="Times New Roman"/>
          <w:b/>
          <w:sz w:val="24"/>
          <w:szCs w:val="24"/>
        </w:rPr>
        <w:t>)»</w:t>
      </w:r>
    </w:p>
    <w:p w:rsidR="006D26D2" w:rsidRDefault="00385639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14.08</w:t>
      </w:r>
      <w:r w:rsidR="00CF13A5" w:rsidRPr="009A3F6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206AD" w:rsidRPr="009A3F62">
        <w:rPr>
          <w:rFonts w:ascii="Times New Roman" w:hAnsi="Times New Roman" w:cs="Times New Roman"/>
          <w:b/>
          <w:sz w:val="24"/>
          <w:szCs w:val="24"/>
          <w:u w:val="single"/>
        </w:rPr>
        <w:t>2018 г.</w:t>
      </w:r>
    </w:p>
    <w:p w:rsidR="003F4F8C" w:rsidRPr="003F4F8C" w:rsidRDefault="003F4F8C" w:rsidP="003F4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534"/>
        <w:gridCol w:w="2835"/>
        <w:gridCol w:w="2301"/>
        <w:gridCol w:w="5353"/>
        <w:gridCol w:w="1685"/>
        <w:gridCol w:w="2078"/>
      </w:tblGrid>
      <w:tr w:rsidR="007D4CB7" w:rsidRPr="007D4CB7" w:rsidTr="00076519">
        <w:tc>
          <w:tcPr>
            <w:tcW w:w="534" w:type="dxa"/>
          </w:tcPr>
          <w:p w:rsidR="006D26D2" w:rsidRPr="007D4CB7" w:rsidRDefault="006D26D2" w:rsidP="006D26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государственного предприятия с указанием местонахождения, почтового адреса, телефона</w:t>
            </w:r>
          </w:p>
        </w:tc>
        <w:tc>
          <w:tcPr>
            <w:tcW w:w="2301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вакантной должности</w:t>
            </w:r>
          </w:p>
        </w:tc>
        <w:tc>
          <w:tcPr>
            <w:tcW w:w="5353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претендентам на занятие вакантных должностей, определяемые в соответствии с квалификационными характеристиками для соответствующей сферы</w:t>
            </w:r>
          </w:p>
        </w:tc>
        <w:tc>
          <w:tcPr>
            <w:tcW w:w="1685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приема документов</w:t>
            </w:r>
          </w:p>
        </w:tc>
        <w:tc>
          <w:tcPr>
            <w:tcW w:w="2078" w:type="dxa"/>
          </w:tcPr>
          <w:p w:rsidR="006D26D2" w:rsidRPr="007D4CB7" w:rsidRDefault="006D26D2" w:rsidP="006D2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необходимых документов для участия в собеседовании</w:t>
            </w:r>
          </w:p>
        </w:tc>
      </w:tr>
      <w:tr w:rsidR="00583478" w:rsidRPr="007D4CB7" w:rsidTr="00076519">
        <w:tc>
          <w:tcPr>
            <w:tcW w:w="534" w:type="dxa"/>
          </w:tcPr>
          <w:p w:rsidR="00583478" w:rsidRPr="00C00CF4" w:rsidRDefault="009A3F62" w:rsidP="00C00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637C20" w:rsidRPr="007D4CB7" w:rsidRDefault="00637C20" w:rsidP="006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РГП на ПХВ «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Казарнаулыэкспорт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Казспецэкспорт</w:t>
            </w:r>
            <w:proofErr w:type="spellEnd"/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7D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оборонной и аэрокосмической промышленности Республики Казахстан</w:t>
            </w:r>
          </w:p>
          <w:p w:rsidR="00637C20" w:rsidRDefault="00637C20" w:rsidP="00637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62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CB7">
              <w:rPr>
                <w:rFonts w:ascii="Times New Roman" w:hAnsi="Times New Roman" w:cs="Times New Roman"/>
                <w:sz w:val="24"/>
                <w:szCs w:val="24"/>
              </w:rPr>
              <w:t xml:space="preserve">Астана </w:t>
            </w:r>
          </w:p>
          <w:p w:rsidR="00637C20" w:rsidRPr="007D4CB7" w:rsidRDefault="00637C20" w:rsidP="00637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манова</w:t>
            </w:r>
            <w:proofErr w:type="spellEnd"/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д.13</w:t>
            </w:r>
          </w:p>
          <w:p w:rsidR="00637C20" w:rsidRDefault="00637C20" w:rsidP="00637C2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4C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тел. 90-10-74</w:t>
            </w:r>
          </w:p>
          <w:p w:rsidR="00637C20" w:rsidRPr="008172A9" w:rsidRDefault="00637C20" w:rsidP="00637C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72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kadry@kaspex.kz</w:t>
            </w:r>
          </w:p>
          <w:p w:rsidR="00637C20" w:rsidRDefault="00637C20" w:rsidP="00637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478" w:rsidRPr="007D4CB7" w:rsidRDefault="00583478" w:rsidP="007F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5805DB" w:rsidRPr="005805DB" w:rsidRDefault="005805DB" w:rsidP="005805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B">
              <w:rPr>
                <w:rFonts w:ascii="Times New Roman" w:hAnsi="Times New Roman" w:cs="Times New Roman"/>
                <w:sz w:val="24"/>
                <w:szCs w:val="24"/>
              </w:rPr>
              <w:t>эксперт административно - хозяйственного   сектора</w:t>
            </w:r>
          </w:p>
          <w:p w:rsidR="005805DB" w:rsidRPr="005805DB" w:rsidRDefault="005805DB" w:rsidP="005805D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5DB">
              <w:rPr>
                <w:rFonts w:ascii="Times New Roman" w:hAnsi="Times New Roman" w:cs="Times New Roman"/>
                <w:sz w:val="24"/>
                <w:szCs w:val="24"/>
              </w:rPr>
              <w:t>Административного департамента</w:t>
            </w:r>
          </w:p>
          <w:p w:rsidR="00583478" w:rsidRPr="00F1196E" w:rsidRDefault="00583478" w:rsidP="00DF6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A033B4" w:rsidRPr="00A033B4" w:rsidRDefault="00A033B4" w:rsidP="00A033B4">
            <w:pPr>
              <w:tabs>
                <w:tab w:val="left" w:pos="851"/>
                <w:tab w:val="left" w:pos="1276"/>
              </w:tabs>
              <w:suppressAutoHyphens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3B4">
              <w:rPr>
                <w:rFonts w:ascii="Times New Roman" w:hAnsi="Times New Roman" w:cs="Times New Roman"/>
                <w:sz w:val="24"/>
                <w:szCs w:val="24"/>
              </w:rPr>
              <w:t>Высшее образование, без предъявления требований к стажу работы.</w:t>
            </w:r>
          </w:p>
          <w:p w:rsidR="0027438D" w:rsidRPr="0093246E" w:rsidRDefault="00C55AF6" w:rsidP="00C55AF6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t>Подготавливает</w:t>
            </w:r>
            <w:r w:rsidR="002449E6" w:rsidRPr="0063416B">
              <w:t xml:space="preserve"> заявки и обоснования для  внесения в план государственных закупок приобретение основных средств, товарно-материальных ценностей, канцелярских и хозяйственных товаров, услуг по аренде и прочих услуг, разрабатывает техническую спецификацию для закупа основных средств, товарно-материальных ценностей, канцелярских и хозяйственных товаров, услуг по аренде и прочих услуг, </w:t>
            </w:r>
            <w:r>
              <w:t>подготавливает</w:t>
            </w:r>
            <w:r w:rsidR="002449E6" w:rsidRPr="0063416B">
              <w:t xml:space="preserve"> заявки и проекты договоров на приобретение  основных средств, товарно-материальных ценностей, канцелярских и хозяйственных товаров, услуг по аренде и прочих услуг посредством государственных закупок, получает основные средства, товарно-материальные ценности, канцелярские и хозяйственные товары, услуги по аренде и прочие услуги от поставщиков  согласно  требований договора и бухгалтерского учета, ведет учет их расходования и составляет отчетность, проверяет состояние товара, принимает меры по замене в случае обнаружения наружного брака, проводит необходимые мероприятия по составлению плана и сметы расходов по ремонту производственной базы; принимает меры по повышению эффективности </w:t>
            </w:r>
            <w:r w:rsidR="002449E6" w:rsidRPr="0063416B">
              <w:lastRenderedPageBreak/>
              <w:t>использования материальных ресурсов путем снижения затрат, связанных с их приобретением, доставкой и хранением, контролирует   исполнение  поставщиками обязательств по договорам о государственных закупках, касающихся деятельности  Департамента, направляет материалы в Юридический департамент Предприятия  для предъявления   исковых  заявлений   о   признании поставщиков  недобросовестными  участниками   государственных  закупок,  по  условиям заключенных договоров о государственных закупках, контролирует целевое и эффективное использование структурными подразделениями Предприятия материальных ценностей, содержание  помещений Предприятия в надлежащем состоянии в соответствии с действующими санитарно – гигиеническими и противопожарными нормами и правилами, обеспечивает структурные подразделения канцелярскими принадлежностями, оборудованием, оргтехникой, мебелью, хозяйственными товарами, ведет учет их расходования и составляет отчетность, обеспечивает транспортное обслуживание Предприятия, участвует в инвентаризациях товарно-материальных ценностей, проводимых на Предприятии, отвечает за культурно-просветительские и другие мероприятия, обеспечивает структурные подразделения опечатывающими устройствами и печатями, несет материальную ответственность за вверенное ему имущество и товарно-материальные ценности.</w:t>
            </w:r>
          </w:p>
        </w:tc>
        <w:tc>
          <w:tcPr>
            <w:tcW w:w="1685" w:type="dxa"/>
          </w:tcPr>
          <w:p w:rsidR="00583478" w:rsidRDefault="00251DA6" w:rsidP="00C2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3856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76391" w:rsidRPr="00576391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  <w:r w:rsidR="005763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51DA6" w:rsidRPr="00576391" w:rsidRDefault="00251DA6" w:rsidP="00C22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75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078" w:type="dxa"/>
          </w:tcPr>
          <w:p w:rsidR="00583478" w:rsidRPr="00583478" w:rsidRDefault="00583478" w:rsidP="00583478">
            <w:pPr>
              <w:tabs>
                <w:tab w:val="left" w:pos="3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3478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</w:t>
            </w:r>
          </w:p>
          <w:p w:rsidR="00583478" w:rsidRPr="0058347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8347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583478" w:rsidRPr="00583478" w:rsidRDefault="00583478" w:rsidP="00583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83478">
              <w:rPr>
                <w:rFonts w:ascii="Times New Roman" w:hAnsi="Times New Roman" w:cs="Times New Roman"/>
                <w:sz w:val="24"/>
                <w:szCs w:val="24"/>
              </w:rPr>
              <w:t>Резюме</w:t>
            </w:r>
          </w:p>
          <w:p w:rsidR="00583478" w:rsidRPr="00583478" w:rsidRDefault="00583478" w:rsidP="00583478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83478">
              <w:rPr>
                <w:rFonts w:ascii="Times New Roman" w:hAnsi="Times New Roman" w:cs="Times New Roman"/>
                <w:sz w:val="24"/>
                <w:szCs w:val="24"/>
              </w:rPr>
              <w:t>Копии дипломов</w:t>
            </w:r>
          </w:p>
          <w:p w:rsidR="00583478" w:rsidRPr="00583478" w:rsidRDefault="00583478" w:rsidP="00583478">
            <w:pPr>
              <w:tabs>
                <w:tab w:val="left" w:pos="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83478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</w:tc>
      </w:tr>
    </w:tbl>
    <w:p w:rsidR="006D26D2" w:rsidRPr="006D26D2" w:rsidRDefault="006D26D2" w:rsidP="006D26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D26D2" w:rsidRPr="006D26D2" w:rsidSect="005632F1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(OT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B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076F68"/>
    <w:multiLevelType w:val="hybridMultilevel"/>
    <w:tmpl w:val="6E8C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A0B75"/>
    <w:multiLevelType w:val="hybridMultilevel"/>
    <w:tmpl w:val="5F304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715"/>
    <w:multiLevelType w:val="hybridMultilevel"/>
    <w:tmpl w:val="6E4E0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5D90"/>
    <w:multiLevelType w:val="multilevel"/>
    <w:tmpl w:val="45262D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</w:rPr>
    </w:lvl>
  </w:abstractNum>
  <w:abstractNum w:abstractNumId="5">
    <w:nsid w:val="25CD512B"/>
    <w:multiLevelType w:val="multilevel"/>
    <w:tmpl w:val="6DB43314"/>
    <w:lvl w:ilvl="0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ascii="Times New Roman" w:eastAsiaTheme="minorEastAsia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318" w:hanging="13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607" w:hanging="13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96" w:hanging="132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954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892" w:hanging="2160"/>
      </w:pPr>
      <w:rPr>
        <w:rFonts w:eastAsiaTheme="minorEastAsia" w:hint="default"/>
      </w:rPr>
    </w:lvl>
  </w:abstractNum>
  <w:abstractNum w:abstractNumId="6">
    <w:nsid w:val="286A2F84"/>
    <w:multiLevelType w:val="hybridMultilevel"/>
    <w:tmpl w:val="6FB6107C"/>
    <w:lvl w:ilvl="0" w:tplc="DFF0B84A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7">
    <w:nsid w:val="2A7514BD"/>
    <w:multiLevelType w:val="hybridMultilevel"/>
    <w:tmpl w:val="3C7E3448"/>
    <w:lvl w:ilvl="0" w:tplc="9BF0CCA4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E5505D"/>
    <w:multiLevelType w:val="hybridMultilevel"/>
    <w:tmpl w:val="C152DBBC"/>
    <w:lvl w:ilvl="0" w:tplc="610ED5C4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353A3F9E">
      <w:start w:val="1"/>
      <w:numFmt w:val="decimal"/>
      <w:lvlText w:val="%2)"/>
      <w:lvlJc w:val="left"/>
      <w:pPr>
        <w:ind w:left="2226" w:hanging="360"/>
      </w:pPr>
      <w:rPr>
        <w:rFonts w:ascii="Times New Roman" w:eastAsia="Arial Unicode MS" w:hAnsi="Times New Roman" w:cs="Times New Roman"/>
      </w:rPr>
    </w:lvl>
    <w:lvl w:ilvl="2" w:tplc="ECA87F10">
      <w:start w:val="1"/>
      <w:numFmt w:val="decimal"/>
      <w:lvlText w:val="%3."/>
      <w:lvlJc w:val="right"/>
      <w:pPr>
        <w:ind w:left="294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2A8711A"/>
    <w:multiLevelType w:val="hybridMultilevel"/>
    <w:tmpl w:val="B80A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A24BA"/>
    <w:multiLevelType w:val="hybridMultilevel"/>
    <w:tmpl w:val="1B389CC8"/>
    <w:lvl w:ilvl="0" w:tplc="91EA20B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AFD6285"/>
    <w:multiLevelType w:val="multilevel"/>
    <w:tmpl w:val="ADEA9FE6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08F2039"/>
    <w:multiLevelType w:val="hybridMultilevel"/>
    <w:tmpl w:val="9ADA4B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3F4"/>
    <w:rsid w:val="00011F67"/>
    <w:rsid w:val="0003437C"/>
    <w:rsid w:val="000449CF"/>
    <w:rsid w:val="00046A91"/>
    <w:rsid w:val="00073490"/>
    <w:rsid w:val="00076519"/>
    <w:rsid w:val="000843B9"/>
    <w:rsid w:val="00085601"/>
    <w:rsid w:val="000A5E35"/>
    <w:rsid w:val="000D0F90"/>
    <w:rsid w:val="000E09DC"/>
    <w:rsid w:val="000E2144"/>
    <w:rsid w:val="001077F9"/>
    <w:rsid w:val="00146E5A"/>
    <w:rsid w:val="001605FF"/>
    <w:rsid w:val="001655D7"/>
    <w:rsid w:val="001771DC"/>
    <w:rsid w:val="00191276"/>
    <w:rsid w:val="001B68C9"/>
    <w:rsid w:val="001C459A"/>
    <w:rsid w:val="001D7F74"/>
    <w:rsid w:val="001F33BE"/>
    <w:rsid w:val="00201E8F"/>
    <w:rsid w:val="0021136B"/>
    <w:rsid w:val="002449E6"/>
    <w:rsid w:val="00251DA6"/>
    <w:rsid w:val="0026277C"/>
    <w:rsid w:val="0027438D"/>
    <w:rsid w:val="002770CA"/>
    <w:rsid w:val="002806BD"/>
    <w:rsid w:val="002844D1"/>
    <w:rsid w:val="00286758"/>
    <w:rsid w:val="002A25D2"/>
    <w:rsid w:val="002A498E"/>
    <w:rsid w:val="00320126"/>
    <w:rsid w:val="00333DFA"/>
    <w:rsid w:val="00350C1E"/>
    <w:rsid w:val="00351317"/>
    <w:rsid w:val="00385639"/>
    <w:rsid w:val="00386BBB"/>
    <w:rsid w:val="0039696D"/>
    <w:rsid w:val="003A5484"/>
    <w:rsid w:val="003D40B7"/>
    <w:rsid w:val="003D43F4"/>
    <w:rsid w:val="003E1228"/>
    <w:rsid w:val="003F4F8C"/>
    <w:rsid w:val="004120D5"/>
    <w:rsid w:val="0044431C"/>
    <w:rsid w:val="004455AB"/>
    <w:rsid w:val="00473796"/>
    <w:rsid w:val="00490F0C"/>
    <w:rsid w:val="004A09D7"/>
    <w:rsid w:val="004E6FBD"/>
    <w:rsid w:val="005179DF"/>
    <w:rsid w:val="005206AD"/>
    <w:rsid w:val="00531A1F"/>
    <w:rsid w:val="00542F2F"/>
    <w:rsid w:val="00552630"/>
    <w:rsid w:val="005536A2"/>
    <w:rsid w:val="005632F1"/>
    <w:rsid w:val="00563EBA"/>
    <w:rsid w:val="00576391"/>
    <w:rsid w:val="005805DB"/>
    <w:rsid w:val="00583478"/>
    <w:rsid w:val="0058361D"/>
    <w:rsid w:val="00593E5C"/>
    <w:rsid w:val="00594AAA"/>
    <w:rsid w:val="005C5104"/>
    <w:rsid w:val="005D0AE4"/>
    <w:rsid w:val="0060192E"/>
    <w:rsid w:val="0060556E"/>
    <w:rsid w:val="0061485D"/>
    <w:rsid w:val="00616DAD"/>
    <w:rsid w:val="00622EB0"/>
    <w:rsid w:val="006321E0"/>
    <w:rsid w:val="00637C20"/>
    <w:rsid w:val="00652DCD"/>
    <w:rsid w:val="00655380"/>
    <w:rsid w:val="006917BB"/>
    <w:rsid w:val="006A5FB5"/>
    <w:rsid w:val="006C4AA9"/>
    <w:rsid w:val="006C5B1B"/>
    <w:rsid w:val="006D26D2"/>
    <w:rsid w:val="00703D06"/>
    <w:rsid w:val="007302F9"/>
    <w:rsid w:val="0075563C"/>
    <w:rsid w:val="00762F56"/>
    <w:rsid w:val="00777620"/>
    <w:rsid w:val="00784BA7"/>
    <w:rsid w:val="007977C1"/>
    <w:rsid w:val="007C37CA"/>
    <w:rsid w:val="007C3A2E"/>
    <w:rsid w:val="007C60E0"/>
    <w:rsid w:val="007D4CB7"/>
    <w:rsid w:val="007E0834"/>
    <w:rsid w:val="007F0F26"/>
    <w:rsid w:val="007F2C1E"/>
    <w:rsid w:val="00800A2E"/>
    <w:rsid w:val="0081650E"/>
    <w:rsid w:val="008172A9"/>
    <w:rsid w:val="00835DED"/>
    <w:rsid w:val="00837E75"/>
    <w:rsid w:val="00872B95"/>
    <w:rsid w:val="008C59D0"/>
    <w:rsid w:val="0093246E"/>
    <w:rsid w:val="009412D6"/>
    <w:rsid w:val="00957695"/>
    <w:rsid w:val="009624E5"/>
    <w:rsid w:val="009636D7"/>
    <w:rsid w:val="00995CB8"/>
    <w:rsid w:val="009A3F62"/>
    <w:rsid w:val="009A4F39"/>
    <w:rsid w:val="009D10B8"/>
    <w:rsid w:val="009E2F1C"/>
    <w:rsid w:val="00A033B4"/>
    <w:rsid w:val="00A720F8"/>
    <w:rsid w:val="00AA7A75"/>
    <w:rsid w:val="00AE01E9"/>
    <w:rsid w:val="00AF49CD"/>
    <w:rsid w:val="00AF7120"/>
    <w:rsid w:val="00B0301B"/>
    <w:rsid w:val="00B7789A"/>
    <w:rsid w:val="00B804A0"/>
    <w:rsid w:val="00BB4349"/>
    <w:rsid w:val="00BD5856"/>
    <w:rsid w:val="00C00CF4"/>
    <w:rsid w:val="00C2232A"/>
    <w:rsid w:val="00C44D01"/>
    <w:rsid w:val="00C55850"/>
    <w:rsid w:val="00C55AF6"/>
    <w:rsid w:val="00C955E6"/>
    <w:rsid w:val="00CC73A4"/>
    <w:rsid w:val="00CF13A5"/>
    <w:rsid w:val="00CF68F6"/>
    <w:rsid w:val="00D1373A"/>
    <w:rsid w:val="00D51D91"/>
    <w:rsid w:val="00D9134F"/>
    <w:rsid w:val="00DC0832"/>
    <w:rsid w:val="00DD0301"/>
    <w:rsid w:val="00DD6A8E"/>
    <w:rsid w:val="00DF6FCF"/>
    <w:rsid w:val="00E03F4D"/>
    <w:rsid w:val="00E448E4"/>
    <w:rsid w:val="00E612A8"/>
    <w:rsid w:val="00E67D9F"/>
    <w:rsid w:val="00E72D7B"/>
    <w:rsid w:val="00EB3380"/>
    <w:rsid w:val="00ED3983"/>
    <w:rsid w:val="00F00771"/>
    <w:rsid w:val="00F1196E"/>
    <w:rsid w:val="00F1347C"/>
    <w:rsid w:val="00F62A27"/>
    <w:rsid w:val="00FC2A1F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4CB7"/>
    <w:pPr>
      <w:ind w:left="720"/>
      <w:contextualSpacing/>
    </w:pPr>
  </w:style>
  <w:style w:type="paragraph" w:customStyle="1" w:styleId="body">
    <w:name w:val="body"/>
    <w:basedOn w:val="a"/>
    <w:uiPriority w:val="99"/>
    <w:semiHidden/>
    <w:rsid w:val="00B804A0"/>
    <w:pPr>
      <w:autoSpaceDE w:val="0"/>
      <w:autoSpaceDN w:val="0"/>
      <w:spacing w:after="0" w:line="240" w:lineRule="atLeast"/>
      <w:ind w:firstLine="283"/>
      <w:jc w:val="both"/>
    </w:pPr>
    <w:rPr>
      <w:rFonts w:ascii="Times New Roman (OTF)" w:eastAsiaTheme="minorEastAsia" w:hAnsi="Times New Roman (OTF)" w:cs="Times New Roman"/>
      <w:color w:val="000000"/>
      <w:lang w:eastAsia="ru-RU"/>
    </w:rPr>
  </w:style>
  <w:style w:type="paragraph" w:styleId="a5">
    <w:name w:val="No Spacing"/>
    <w:link w:val="a6"/>
    <w:uiPriority w:val="1"/>
    <w:qFormat/>
    <w:rsid w:val="0077762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A5FB5"/>
    <w:rPr>
      <w:rFonts w:ascii="Calibri" w:eastAsia="Times New Roman" w:hAnsi="Calibri" w:cs="Calibri"/>
      <w:lang w:eastAsia="ru-RU"/>
    </w:rPr>
  </w:style>
  <w:style w:type="paragraph" w:styleId="a7">
    <w:name w:val="Normal (Web)"/>
    <w:basedOn w:val="a"/>
    <w:uiPriority w:val="99"/>
    <w:unhideWhenUsed/>
    <w:rsid w:val="006A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93246E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32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10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10B8"/>
    <w:pPr>
      <w:widowControl w:val="0"/>
      <w:shd w:val="clear" w:color="auto" w:fill="FFFFFF"/>
      <w:spacing w:after="0" w:line="322" w:lineRule="exact"/>
      <w:ind w:firstLine="6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BB434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B4349"/>
  </w:style>
  <w:style w:type="character" w:styleId="ac">
    <w:name w:val="Hyperlink"/>
    <w:basedOn w:val="a0"/>
    <w:uiPriority w:val="99"/>
    <w:semiHidden/>
    <w:unhideWhenUsed/>
    <w:rsid w:val="000734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tungushbaeva</dc:creator>
  <cp:keywords/>
  <dc:description/>
  <cp:lastModifiedBy>tungushbaeva</cp:lastModifiedBy>
  <cp:revision>164</cp:revision>
  <cp:lastPrinted>2018-08-10T10:48:00Z</cp:lastPrinted>
  <dcterms:created xsi:type="dcterms:W3CDTF">2018-05-31T04:01:00Z</dcterms:created>
  <dcterms:modified xsi:type="dcterms:W3CDTF">2018-08-14T06:54:00Z</dcterms:modified>
</cp:coreProperties>
</file>